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genesis-47"/>
    <w:p>
      <w:pPr>
        <w:pStyle w:val="Heading1"/>
      </w:pPr>
      <w:r>
        <w:t xml:space="preserve">Homiletics Analysis: Genesis 47</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Genesis 47 is a chapter of surprising reversals and quietly momentous transitions. The chapter moves through four distinct movements: Joseph’s presentation of his family before Pharaoh and their settlement in Goshen (vv. 1–12); the advance of the famine and Joseph’s administration of Pharaoh’s economic program, by which all of Egypt and Canaan are progressively stripped of their money, livestock, land, and finally their personal freedom in exchange for grain (vv. 13–26); the prospering and multiplication of Israel in Goshen even as Egypt is being economically consolidated under Pharaoh (vv. 27–28); and Jacob’s solemn charge to Joseph, with the oath sworn on Joseph’s thigh, that Joseph will bury him not in Egypt but in the land of his fathers (vv. 29–31).</w:t>
      </w:r>
    </w:p>
    <w:p>
      <w:pPr>
        <w:pStyle w:val="BodyText"/>
      </w:pPr>
      <w:r>
        <w:t xml:space="preserve">The famine material dominates the chapter in sheer volume but is regularly misread as the chapter’s main subject. It is not. The famine administration is the backdrop against which two contrasting trajectories are drawn: Egypt under Pharaoh, and Israel under God. Egypt gains a king with total economic sovereignty over a permanently dependent population. Israel gains children, multiplies exceedingly, acquires property, and holds on — even in a foreign land — to the promise of a homeland they do not yet possess. Jacob’s deathbed oath-demand in verses 29–31 is not a sentimental wish; it is an act of covenant faith. He refuses to be buried in Egypt because he refuses to let Egypt be his final address. The land of promise is still the land of promise, even from a sickbed in Goshen.</w:t>
      </w:r>
    </w:p>
    <w:p>
      <w:pPr>
        <w:pStyle w:val="BodyText"/>
      </w:pPr>
      <w:r>
        <w:rPr>
          <w:b/>
          <w:bCs/>
        </w:rPr>
        <w:t xml:space="preserve">This Text — Intent</w:t>
      </w:r>
    </w:p>
    <w:p>
      <w:pPr>
        <w:pStyle w:val="BodyText"/>
      </w:pPr>
      <w:r>
        <w:t xml:space="preserve">God is calling His people — through the juxtaposition of Israel’s flourishing and Egypt’s collapse, and through Jacob’s covenant-grounded act of faith — to locate their ultimate hope not in the most powerful empire of their day but in the promise of God that outlasts every earthly system. The chapter confronts the subtle temptation to let the present comfort of Goshen become a permanent home, and answers it with Jacob’s insistence that the land of promise still claims him even at death. God is pressing the reader to ask: Where does your security ultimately reside — in the empire that is presently feeding you, or in the covenant that has already named your destination?</w:t>
      </w:r>
    </w:p>
    <w:p>
      <w:r>
        <w:pict>
          <v:rect style="width:0;height:1.5pt" o:hralign="center" o:hrstd="t" o:hr="t"/>
        </w:pict>
      </w:r>
    </w:p>
    <w:p>
      <w:pPr>
        <w:pStyle w:val="FirstParagraph"/>
      </w:pPr>
      <w:r>
        <w:rPr>
          <w:b/>
          <w:bCs/>
        </w:rPr>
        <w:t xml:space="preserve">Subject Sentence:</w:t>
      </w:r>
      <w:r>
        <w:t xml:space="preserve"> </w:t>
      </w:r>
      <w:r>
        <w:t xml:space="preserve">Israel multiplies in Egypt while Jacob’s dying faith anchors the family to the land of promise.</w:t>
      </w:r>
    </w:p>
    <w:p>
      <w:r>
        <w:pict>
          <v:rect style="width:0;height:1.5pt" o:hralign="center" o:hrstd="t" o:hr="t"/>
        </w:pict>
      </w:r>
    </w:p>
    <w:p>
      <w:pPr>
        <w:pStyle w:val="FirstParagraph"/>
      </w:pPr>
      <w:r>
        <w:rPr>
          <w:b/>
          <w:bCs/>
        </w:rPr>
        <w:t xml:space="preserve">Primary Claim:</w:t>
      </w:r>
      <w:r>
        <w:t xml:space="preserve"> </w:t>
      </w:r>
      <w:r>
        <w:t xml:space="preserve">God is demonstrating that His covenant promise sustains and multiplies His people even within a foreign empire, and calling them — through Jacob’s dying act of faith — to hold their present comfort loosely and their promised destination firmly.</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Famine Narrative and Joseph’s Administration (vv. 13–26)</w:t>
      </w:r>
    </w:p>
    <w:p>
      <w:pPr>
        <w:pStyle w:val="BodyText"/>
      </w:pPr>
      <w:r>
        <w:t xml:space="preserve">The most significant interpretive divergence in this chapter concerns how to read Joseph’s economic policies. A straightforward historical-critical reading tends to treat vv. 13–26 as a source-critical interpolation — an etiological legend explaining Egypt’s land tenure system — largely disconnected from the theological concerns of the Joseph narrative. This reading is too thin. It atomizes the text at precisely the point where its literary structure is doing the most work.</w:t>
      </w:r>
    </w:p>
    <w:p>
      <w:pPr>
        <w:pStyle w:val="BodyText"/>
      </w:pPr>
      <w:r>
        <w:t xml:space="preserve">A common homiletical approach treats the famine administration as the chapter’s moral center: Joseph as a model administrator, wise steward, or public servant. This reading, while not entirely wrong, misses the fact that vv. 13–26 are not presented as exemplary policy but as backdrop. The text does not invite the reader to admire or emulate Joseph’s famine program — it presents it as the context within which the real drama of vv. 27–31 unfolds. The homiletical instinct to extract a leadership lesson from the famine material mistakes foreground for background.</w:t>
      </w:r>
    </w:p>
    <w:p>
      <w:pPr>
        <w:pStyle w:val="BodyText"/>
      </w:pPr>
      <w:r>
        <w:t xml:space="preserve">A Dispensational reading will tend to read vv. 27–31 through a strongly ethnic-national lens: Jacob’s burial request as the preservation of Israel’s territorial claim for future fulfillment in the land. This is partially correct — there is genuine canonical weight to Israel’s relationship to the land — but the Dispensational framework can underread the passage’s immediate theological force, which is not primarily about real estate but about faith. Jacob’s demand is an expression of trust in a God who keeps promises, not merely a real-estate reservation.</w:t>
      </w:r>
    </w:p>
    <w:p>
      <w:pPr>
        <w:pStyle w:val="BodyText"/>
      </w:pPr>
      <w:r>
        <w:t xml:space="preserve">The Reformed reading treats the entire chapter as a unified theological composition: the contrast between Egypt’s trajectory and Israel’s trajectory is not incidental but intentional; the famine material serves the theological contrast; and Jacob’s oath-demand is the chapter’s climax — an act of covenant faith, not merely personal sentiment. This reading accounts for the whole chapter’s movement and best explains why the narrator places the burial oath immediately after noting Israel’s unusual prosperity in vv. 27–28. The contrast is the point: Egypt grows dependent on Pharaoh; Israel grows in number and holds on to God’s promise.</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Genesis 12:1–3; 15:13–16</w:t>
      </w:r>
      <w:r>
        <w:t xml:space="preserve"> </w:t>
      </w:r>
      <w:r>
        <w:t xml:space="preserve">— The Abrahamic covenant grounds both Israel’s time in Egypt (foretold as sojourning in a foreign land) and their certain return to the land of promise; Jacob’s burial request is the lived embodiment of this covenantal confidence.</w:t>
      </w:r>
    </w:p>
    <w:p>
      <w:pPr>
        <w:numPr>
          <w:ilvl w:val="0"/>
          <w:numId w:val="1001"/>
        </w:numPr>
      </w:pPr>
      <w:r>
        <w:rPr>
          <w:b/>
          <w:bCs/>
        </w:rPr>
        <w:t xml:space="preserve">Hebrews 11:21–22</w:t>
      </w:r>
      <w:r>
        <w:t xml:space="preserve"> </w:t>
      </w:r>
      <w:r>
        <w:t xml:space="preserve">— The author of Hebrews explicitly names Jacob’s blessing of Joseph’s sons and Joseph’s own instruction about his bones (Genesis 50:25) as acts of faith — confirming that the burial oath in Genesis 47 belongs to the chapter of faith, not merely family sentiment.</w:t>
      </w:r>
    </w:p>
    <w:p>
      <w:pPr>
        <w:numPr>
          <w:ilvl w:val="0"/>
          <w:numId w:val="1001"/>
        </w:numPr>
      </w:pPr>
      <w:r>
        <w:rPr>
          <w:b/>
          <w:bCs/>
        </w:rPr>
        <w:t xml:space="preserve">Exodus 1:7–14</w:t>
      </w:r>
      <w:r>
        <w:t xml:space="preserve"> </w:t>
      </w:r>
      <w:r>
        <w:t xml:space="preserve">— Israel’s multiplication in Goshen (v. 27) directly anticipates the exponential growth that makes Pharaoh afraid; Genesis 47 is the theological seedbed of the Exodus: Israel prospers under God’s blessing even within an empire that will eventually seek to destroy them.</w:t>
      </w:r>
    </w:p>
    <w:p>
      <w:pPr>
        <w:numPr>
          <w:ilvl w:val="0"/>
          <w:numId w:val="1001"/>
        </w:numPr>
      </w:pPr>
      <w:r>
        <w:rPr>
          <w:b/>
          <w:bCs/>
        </w:rPr>
        <w:t xml:space="preserve">Philippians 3:20</w:t>
      </w:r>
      <w:r>
        <w:t xml:space="preserve"> </w:t>
      </w:r>
      <w:r>
        <w:t xml:space="preserve">— Paul’s declaration that the believer’s citizenship is in heaven directly echoes the theological posture of Jacob’s burial demand: present residence in a foreign arrangement does not constitute ultimate belonging; the homeland of promise claims the believer even now.</w:t>
      </w:r>
    </w:p>
    <w:p>
      <w:pPr>
        <w:numPr>
          <w:ilvl w:val="0"/>
          <w:numId w:val="1001"/>
        </w:numPr>
      </w:pPr>
      <w:r>
        <w:rPr>
          <w:b/>
          <w:bCs/>
        </w:rPr>
        <w:t xml:space="preserve">Revelation 21:1–4</w:t>
      </w:r>
      <w:r>
        <w:t xml:space="preserve"> </w:t>
      </w:r>
      <w:r>
        <w:t xml:space="preserve">— The ultimate horizon of the land-promise: not Canaan alone but the new creation as the final home of God’s people — the destination that gives all temporary dwelling places their proper relativized status.</w:t>
      </w:r>
    </w:p>
    <w:p>
      <w:r>
        <w:pict>
          <v:rect style="width:0;height:1.5pt" o:hralign="center" o:hrstd="t" o:hr="t"/>
        </w:pict>
      </w:r>
    </w:p>
    <w:p>
      <w:pPr>
        <w:pStyle w:val="FirstParagraph"/>
      </w:pPr>
      <w:r>
        <w:rPr>
          <w:b/>
          <w:bCs/>
        </w:rPr>
        <w:t xml:space="preserve">Aim:</w:t>
      </w:r>
      <w:r>
        <w:t xml:space="preserve"> </w:t>
      </w:r>
      <w:r>
        <w:t xml:space="preserve">To expose the subtle idolatry of mistaking a comfortable present arrangement for a permanent home, and to anchor the reader’s ultimate hope in God’s covenant promise rather than in the empire presently feeding them.</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Joseph reports his family’s arrival to Pharaoh; presents five brothers</w:t>
            </w:r>
          </w:p>
        </w:tc>
        <w:tc>
          <w:tcPr/>
          <w:p>
            <w:pPr>
              <w:pStyle w:val="Compact"/>
            </w:pPr>
            <w:r>
              <w:t xml:space="preserve">Joseph mediates between his family and the supreme power</w:t>
            </w:r>
          </w:p>
        </w:tc>
      </w:tr>
      <w:tr>
        <w:tc>
          <w:tcPr/>
          <w:p>
            <w:pPr>
              <w:pStyle w:val="Compact"/>
            </w:pPr>
            <w:r>
              <w:t xml:space="preserve">3–4</w:t>
            </w:r>
          </w:p>
        </w:tc>
        <w:tc>
          <w:tcPr/>
          <w:p>
            <w:pPr>
              <w:pStyle w:val="Compact"/>
            </w:pPr>
            <w:r>
              <w:t xml:space="preserve">Brothers state their occupation (shepherds) and request to dwell in Goshen</w:t>
            </w:r>
          </w:p>
        </w:tc>
        <w:tc>
          <w:tcPr/>
          <w:p>
            <w:pPr>
              <w:pStyle w:val="Compact"/>
            </w:pPr>
            <w:r>
              <w:t xml:space="preserve">Shepherds were an abomination to Egyptians (cf. 46:34) — geographical and cultural separation secured</w:t>
            </w:r>
          </w:p>
        </w:tc>
      </w:tr>
      <w:tr>
        <w:tc>
          <w:tcPr/>
          <w:p>
            <w:pPr>
              <w:pStyle w:val="Compact"/>
            </w:pPr>
            <w:r>
              <w:t xml:space="preserve">5–6</w:t>
            </w:r>
          </w:p>
        </w:tc>
        <w:tc>
          <w:tcPr/>
          <w:p>
            <w:pPr>
              <w:pStyle w:val="Compact"/>
            </w:pPr>
            <w:r>
              <w:t xml:space="preserve">Pharaoh grants Goshen; invites capable men to oversee Pharaoh’s livestock</w:t>
            </w:r>
          </w:p>
        </w:tc>
        <w:tc>
          <w:tcPr/>
          <w:p>
            <w:pPr>
              <w:pStyle w:val="Compact"/>
            </w:pPr>
            <w:r>
              <w:t xml:space="preserve">Settlement authorized at the highest level; partial integration for skilled men</w:t>
            </w:r>
          </w:p>
        </w:tc>
      </w:tr>
      <w:tr>
        <w:tc>
          <w:tcPr/>
          <w:p>
            <w:pPr>
              <w:pStyle w:val="Compact"/>
            </w:pPr>
            <w:r>
              <w:t xml:space="preserve">7–10</w:t>
            </w:r>
          </w:p>
        </w:tc>
        <w:tc>
          <w:tcPr/>
          <w:p>
            <w:pPr>
              <w:pStyle w:val="Compact"/>
            </w:pPr>
            <w:r>
              <w:t xml:space="preserve">Joseph presents Jacob to Pharaoh; Jacob blesses Pharaoh twice; Pharaoh asks Jacob’s age</w:t>
            </w:r>
          </w:p>
        </w:tc>
        <w:tc>
          <w:tcPr/>
          <w:p>
            <w:pPr>
              <w:pStyle w:val="Compact"/>
            </w:pPr>
            <w:r>
              <w:t xml:space="preserve">Jacob, 130 years old, calls his days</w:t>
            </w:r>
            <w:r>
              <w:t xml:space="preserve"> </w:t>
            </w:r>
            <w:r>
              <w:t xml:space="preserve">“few and evil”</w:t>
            </w:r>
            <w:r>
              <w:t xml:space="preserve"> </w:t>
            </w:r>
            <w:r>
              <w:t xml:space="preserve">— striking self-assessment from the patriarch</w:t>
            </w:r>
          </w:p>
        </w:tc>
      </w:tr>
      <w:tr>
        <w:tc>
          <w:tcPr/>
          <w:p>
            <w:pPr>
              <w:pStyle w:val="Compact"/>
            </w:pPr>
            <w:r>
              <w:t xml:space="preserve">11–12</w:t>
            </w:r>
          </w:p>
        </w:tc>
        <w:tc>
          <w:tcPr/>
          <w:p>
            <w:pPr>
              <w:pStyle w:val="Compact"/>
            </w:pPr>
            <w:r>
              <w:t xml:space="preserve">Joseph settles family in Rameses; provides food according to number of dependents</w:t>
            </w:r>
          </w:p>
        </w:tc>
        <w:tc>
          <w:tcPr/>
          <w:p>
            <w:pPr>
              <w:pStyle w:val="Compact"/>
            </w:pPr>
            <w:r>
              <w:t xml:space="preserve">Fulfillment of Joseph’s earlier provision promises; the family is sustained</w:t>
            </w:r>
          </w:p>
        </w:tc>
      </w:tr>
      <w:tr>
        <w:tc>
          <w:tcPr/>
          <w:p>
            <w:pPr>
              <w:pStyle w:val="Compact"/>
            </w:pPr>
            <w:r>
              <w:t xml:space="preserve">13–14</w:t>
            </w:r>
          </w:p>
        </w:tc>
        <w:tc>
          <w:tcPr/>
          <w:p>
            <w:pPr>
              <w:pStyle w:val="Compact"/>
            </w:pPr>
            <w:r>
              <w:t xml:space="preserve">Famine severe throughout Egypt and Canaan; Joseph collects all money for grain</w:t>
            </w:r>
          </w:p>
        </w:tc>
        <w:tc>
          <w:tcPr/>
          <w:p>
            <w:pPr>
              <w:pStyle w:val="Compact"/>
            </w:pPr>
            <w:r>
              <w:t xml:space="preserve">Economic consolidation begins; all money flows to Pharaoh</w:t>
            </w:r>
          </w:p>
        </w:tc>
      </w:tr>
      <w:tr>
        <w:tc>
          <w:tcPr/>
          <w:p>
            <w:pPr>
              <w:pStyle w:val="Compact"/>
            </w:pPr>
            <w:r>
              <w:t xml:space="preserve">15–17</w:t>
            </w:r>
          </w:p>
        </w:tc>
        <w:tc>
          <w:tcPr/>
          <w:p>
            <w:pPr>
              <w:pStyle w:val="Compact"/>
            </w:pPr>
            <w:r>
              <w:t xml:space="preserve">Money exhausted; Egyptians trade livestock for grain</w:t>
            </w:r>
          </w:p>
        </w:tc>
        <w:tc>
          <w:tcPr/>
          <w:p>
            <w:pPr>
              <w:pStyle w:val="Compact"/>
            </w:pPr>
            <w:r>
              <w:t xml:space="preserve">Second phase: livestock transferred to Pharaoh</w:t>
            </w:r>
          </w:p>
        </w:tc>
      </w:tr>
      <w:tr>
        <w:tc>
          <w:tcPr/>
          <w:p>
            <w:pPr>
              <w:pStyle w:val="Compact"/>
            </w:pPr>
            <w:r>
              <w:t xml:space="preserve">18–19</w:t>
            </w:r>
          </w:p>
        </w:tc>
        <w:tc>
          <w:tcPr/>
          <w:p>
            <w:pPr>
              <w:pStyle w:val="Compact"/>
            </w:pPr>
            <w:r>
              <w:t xml:space="preserve">Following year: Egyptians offer bodies and land in exchange for food and seed</w:t>
            </w:r>
          </w:p>
        </w:tc>
        <w:tc>
          <w:tcPr/>
          <w:p>
            <w:pPr>
              <w:pStyle w:val="Compact"/>
            </w:pPr>
            <w:r>
              <w:t xml:space="preserve">Third phase: personal freedom and land surrendered</w:t>
            </w:r>
          </w:p>
        </w:tc>
      </w:tr>
      <w:tr>
        <w:tc>
          <w:tcPr/>
          <w:p>
            <w:pPr>
              <w:pStyle w:val="Compact"/>
            </w:pPr>
            <w:r>
              <w:t xml:space="preserve">20–22</w:t>
            </w:r>
          </w:p>
        </w:tc>
        <w:tc>
          <w:tcPr/>
          <w:p>
            <w:pPr>
              <w:pStyle w:val="Compact"/>
            </w:pPr>
            <w:r>
              <w:t xml:space="preserve">Joseph buys all Egyptian land for Pharaoh; only priests’ land exempted</w:t>
            </w:r>
          </w:p>
        </w:tc>
        <w:tc>
          <w:tcPr/>
          <w:p>
            <w:pPr>
              <w:pStyle w:val="Compact"/>
            </w:pPr>
            <w:r>
              <w:t xml:space="preserve">Egypt becomes a nation of tenant farmers under Pharaoh; priestly exception noted</w:t>
            </w:r>
          </w:p>
        </w:tc>
      </w:tr>
      <w:tr>
        <w:tc>
          <w:tcPr/>
          <w:p>
            <w:pPr>
              <w:pStyle w:val="Compact"/>
            </w:pPr>
            <w:r>
              <w:t xml:space="preserve">23–26</w:t>
            </w:r>
          </w:p>
        </w:tc>
        <w:tc>
          <w:tcPr/>
          <w:p>
            <w:pPr>
              <w:pStyle w:val="Compact"/>
            </w:pPr>
            <w:r>
              <w:t xml:space="preserve">Joseph provides seed; establishes 20% tax as permanent law; Egyptians grateful</w:t>
            </w:r>
          </w:p>
        </w:tc>
        <w:tc>
          <w:tcPr/>
          <w:p>
            <w:pPr>
              <w:pStyle w:val="Compact"/>
            </w:pPr>
            <w:r>
              <w:t xml:space="preserve">The</w:t>
            </w:r>
            <w:r>
              <w:t xml:space="preserve"> </w:t>
            </w:r>
            <w:r>
              <w:t xml:space="preserve">“survival tax”</w:t>
            </w:r>
            <w:r>
              <w:t xml:space="preserve"> </w:t>
            </w:r>
            <w:r>
              <w:t xml:space="preserve">institutionalized; Egyptians express thanks</w:t>
            </w:r>
          </w:p>
        </w:tc>
      </w:tr>
      <w:tr>
        <w:tc>
          <w:tcPr/>
          <w:p>
            <w:pPr>
              <w:pStyle w:val="Compact"/>
            </w:pPr>
            <w:r>
              <w:t xml:space="preserve">27</w:t>
            </w:r>
          </w:p>
        </w:tc>
        <w:tc>
          <w:tcPr/>
          <w:p>
            <w:pPr>
              <w:pStyle w:val="Compact"/>
            </w:pPr>
            <w:r>
              <w:t xml:space="preserve">Israel dwells in Goshen; acquires property; multiplies exceedingly</w:t>
            </w:r>
          </w:p>
        </w:tc>
        <w:tc>
          <w:tcPr/>
          <w:p>
            <w:pPr>
              <w:pStyle w:val="Compact"/>
            </w:pPr>
            <w:r>
              <w:t xml:space="preserve">The theological reversal: Egypt impoverished and enslaved; Israel growing and acquiring</w:t>
            </w:r>
          </w:p>
        </w:tc>
      </w:tr>
      <w:tr>
        <w:tc>
          <w:tcPr/>
          <w:p>
            <w:pPr>
              <w:pStyle w:val="Compact"/>
            </w:pPr>
            <w:r>
              <w:t xml:space="preserve">28</w:t>
            </w:r>
          </w:p>
        </w:tc>
        <w:tc>
          <w:tcPr/>
          <w:p>
            <w:pPr>
              <w:pStyle w:val="Compact"/>
            </w:pPr>
            <w:r>
              <w:t xml:space="preserve">Jacob lives in Egypt 17 years; total age 147 years</w:t>
            </w:r>
          </w:p>
        </w:tc>
        <w:tc>
          <w:tcPr/>
          <w:p>
            <w:pPr>
              <w:pStyle w:val="Compact"/>
            </w:pPr>
            <w:r>
              <w:t xml:space="preserve">Numerical bracket: Jacob’s life moving toward its close</w:t>
            </w:r>
          </w:p>
        </w:tc>
      </w:tr>
      <w:tr>
        <w:tc>
          <w:tcPr/>
          <w:p>
            <w:pPr>
              <w:pStyle w:val="Compact"/>
            </w:pPr>
            <w:r>
              <w:t xml:space="preserve">29–30</w:t>
            </w:r>
          </w:p>
        </w:tc>
        <w:tc>
          <w:tcPr/>
          <w:p>
            <w:pPr>
              <w:pStyle w:val="Compact"/>
            </w:pPr>
            <w:r>
              <w:t xml:space="preserve">Jacob asks Joseph to swear to bury him in the land of his fathers, not Egypt</w:t>
            </w:r>
          </w:p>
        </w:tc>
        <w:tc>
          <w:tcPr/>
          <w:p>
            <w:pPr>
              <w:pStyle w:val="Compact"/>
            </w:pPr>
            <w:r>
              <w:t xml:space="preserve">The burial oath: covenant faith enacted at the edge of death</w:t>
            </w:r>
          </w:p>
        </w:tc>
      </w:tr>
      <w:tr>
        <w:tc>
          <w:tcPr/>
          <w:p>
            <w:pPr>
              <w:pStyle w:val="Compact"/>
            </w:pPr>
            <w:r>
              <w:t xml:space="preserve">31</w:t>
            </w:r>
          </w:p>
        </w:tc>
        <w:tc>
          <w:tcPr/>
          <w:p>
            <w:pPr>
              <w:pStyle w:val="Compact"/>
            </w:pPr>
            <w:r>
              <w:t xml:space="preserve">Joseph swears; Jacob bows in worship at the head of his bed</w:t>
            </w:r>
          </w:p>
        </w:tc>
        <w:tc>
          <w:tcPr/>
          <w:p>
            <w:pPr>
              <w:pStyle w:val="Compact"/>
            </w:pPr>
            <w:r>
              <w:t xml:space="preserve">Jacob worships — the oath secured; faith expressed in physical posture</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1–12</w:t>
            </w:r>
          </w:p>
        </w:tc>
        <w:tc>
          <w:tcPr/>
          <w:p>
            <w:pPr>
              <w:pStyle w:val="Compact"/>
            </w:pPr>
            <w:r>
              <w:t xml:space="preserve">Settlement: Israel Placed in Goshen Under Pharaoh’s Authority</w:t>
            </w:r>
          </w:p>
        </w:tc>
      </w:tr>
      <w:tr>
        <w:tc>
          <w:tcPr/>
          <w:p>
            <w:pPr>
              <w:pStyle w:val="Compact"/>
            </w:pPr>
            <w:r>
              <w:t xml:space="preserve">2</w:t>
            </w:r>
          </w:p>
        </w:tc>
        <w:tc>
          <w:tcPr/>
          <w:p>
            <w:pPr>
              <w:pStyle w:val="Compact"/>
            </w:pPr>
            <w:r>
              <w:t xml:space="preserve">13–26</w:t>
            </w:r>
          </w:p>
        </w:tc>
        <w:tc>
          <w:tcPr/>
          <w:p>
            <w:pPr>
              <w:pStyle w:val="Compact"/>
            </w:pPr>
            <w:r>
              <w:t xml:space="preserve">Consolidation: Egypt Reduced to Dependency Under Pharaoh</w:t>
            </w:r>
          </w:p>
        </w:tc>
      </w:tr>
      <w:tr>
        <w:tc>
          <w:tcPr/>
          <w:p>
            <w:pPr>
              <w:pStyle w:val="Compact"/>
            </w:pPr>
            <w:r>
              <w:t xml:space="preserve">3</w:t>
            </w:r>
          </w:p>
        </w:tc>
        <w:tc>
          <w:tcPr/>
          <w:p>
            <w:pPr>
              <w:pStyle w:val="Compact"/>
            </w:pPr>
            <w:r>
              <w:t xml:space="preserve">27–28</w:t>
            </w:r>
          </w:p>
        </w:tc>
        <w:tc>
          <w:tcPr/>
          <w:p>
            <w:pPr>
              <w:pStyle w:val="Compact"/>
            </w:pPr>
            <w:r>
              <w:t xml:space="preserve">Contrast: Israel Multiplies and Acquires Even in a Foreign Land</w:t>
            </w:r>
          </w:p>
        </w:tc>
      </w:tr>
      <w:tr>
        <w:tc>
          <w:tcPr/>
          <w:p>
            <w:pPr>
              <w:pStyle w:val="Compact"/>
            </w:pPr>
            <w:r>
              <w:t xml:space="preserve">4</w:t>
            </w:r>
          </w:p>
        </w:tc>
        <w:tc>
          <w:tcPr/>
          <w:p>
            <w:pPr>
              <w:pStyle w:val="Compact"/>
            </w:pPr>
            <w:r>
              <w:t xml:space="preserve">29–31</w:t>
            </w:r>
          </w:p>
        </w:tc>
        <w:tc>
          <w:tcPr/>
          <w:p>
            <w:pPr>
              <w:pStyle w:val="Compact"/>
            </w:pPr>
            <w:r>
              <w:t xml:space="preserve">Covenant: Jacob’s Dying Faith Anchors the Family to the Promise</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Israel multiplies in Egypt while Jacob’s dying faith anchors the family to the land of promise.</w:t>
      </w:r>
    </w:p>
    <w:p>
      <w:pPr>
        <w:pStyle w:val="BodyText"/>
      </w:pPr>
      <w:r>
        <w:rPr>
          <w:b/>
          <w:bCs/>
        </w:rPr>
        <w:t xml:space="preserve">Primary Claim:</w:t>
      </w:r>
      <w:r>
        <w:t xml:space="preserve"> </w:t>
      </w:r>
      <w:r>
        <w:t xml:space="preserve">God is demonstrating that His covenant promise sustains and multiplies His people even within a foreign empire, and calling them — through Jacob’s dying act of faith — to hold their present comfort loosely and their promised destination firmly.</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Recognize that your present comfortable arrangement is not your final address.</w:t>
      </w:r>
      <w:r>
        <w:t xml:space="preserve"> </w:t>
      </w:r>
      <w:r>
        <w:rPr>
          <w:i/>
          <w:iCs/>
        </w:rPr>
        <w:t xml:space="preserve">(Mind/Belief)</w:t>
      </w:r>
      <w:r>
        <w:t xml:space="preserve"> </w:t>
      </w:r>
      <w:r>
        <w:t xml:space="preserve">Jacob is prospering in Egypt — seventeen good years, family together, food secured, land acquired in the best of Egypt’s territory. He could have settled into Goshen as home. He refuses to. His dying demand is not a real-estate technicality — it is a theological statement about where he ultimately belongs. The believer whose identity, security, and hope are substantially invested in the conditions of present life — career stability, social standing, national prosperity, physical health — has confused a temporary Goshen with a permanent home. What arrangements in your life have quietly shifted from</w:t>
      </w:r>
      <w:r>
        <w:t xml:space="preserve"> </w:t>
      </w:r>
      <w:r>
        <w:t xml:space="preserve">“gift”</w:t>
      </w:r>
      <w:r>
        <w:t xml:space="preserve"> </w:t>
      </w:r>
      <w:r>
        <w:t xml:space="preserve">to</w:t>
      </w:r>
      <w:r>
        <w:t xml:space="preserve"> </w:t>
      </w:r>
      <w:r>
        <w:t xml:space="preserve">“foundation”</w:t>
      </w:r>
      <w:r>
        <w:t xml:space="preserve">? Jacob’s faith calls you to name them honestly.</w:t>
      </w:r>
    </w:p>
    <w:p>
      <w:pPr>
        <w:pStyle w:val="BodyText"/>
      </w:pPr>
      <w:r>
        <w:rPr>
          <w:b/>
          <w:bCs/>
        </w:rPr>
        <w:t xml:space="preserve">2. Let the covenant promise of God shape your posture toward death itself.</w:t>
      </w:r>
      <w:r>
        <w:t xml:space="preserve"> </w:t>
      </w:r>
      <w:r>
        <w:rPr>
          <w:i/>
          <w:iCs/>
        </w:rPr>
        <w:t xml:space="preserve">(Affections/Worship)</w:t>
      </w:r>
      <w:r>
        <w:t xml:space="preserve"> </w:t>
      </w:r>
      <w:r>
        <w:t xml:space="preserve">Jacob does not rage against dying. He does not negotiate for more years. He asks for one thing: that his bones go home. His entire orientation toward death is governed by what God has promised, not by what Egypt can offer. This is not stoicism — it is a specific form of worship. The believer who has genuinely received the promises of God ought to experience death differently than someone whose entire horizon is the present age. Where is the gap between what you profess about death and what you actually feel when you think about it? Let Jacob’s calm oath-making in verse 29 be a diagnosis as well as a model.</w:t>
      </w:r>
    </w:p>
    <w:p>
      <w:pPr>
        <w:pStyle w:val="BodyText"/>
      </w:pPr>
      <w:r>
        <w:rPr>
          <w:b/>
          <w:bCs/>
        </w:rPr>
        <w:t xml:space="preserve">3. Read the prosperity of God’s enemies as a warning about misplaced dependence, not a template for imitation.</w:t>
      </w:r>
      <w:r>
        <w:t xml:space="preserve"> </w:t>
      </w:r>
      <w:r>
        <w:rPr>
          <w:i/>
          <w:iCs/>
        </w:rPr>
        <w:t xml:space="preserve">(Mind/Belief)</w:t>
      </w:r>
      <w:r>
        <w:t xml:space="preserve"> </w:t>
      </w:r>
      <w:r>
        <w:t xml:space="preserve">The famine narrative in verses 13–26 is not a management seminar. It is a portrait of what totalizing power looks like when it becomes the sole source of survival: Egypt’s population, stripped of money, livestock, land, and finally freedom, is grateful to Pharaoh simply for letting them live. They say, in verse 25,</w:t>
      </w:r>
      <w:r>
        <w:t xml:space="preserve"> </w:t>
      </w:r>
      <w:r>
        <w:t xml:space="preserve">“You have saved our lives.”</w:t>
      </w:r>
      <w:r>
        <w:t xml:space="preserve"> </w:t>
      </w:r>
      <w:r>
        <w:t xml:space="preserve">The text is inviting the reader to notice the difference between this and what Israel experiences — sustained by a God who makes promises rather than a king who extracts tribute. The believer is always tempted to structure life around the empire that can feed them right now. The question is always: who do you say has saved your life?</w:t>
      </w:r>
    </w:p>
    <w:p>
      <w:pPr>
        <w:pStyle w:val="BodyText"/>
      </w:pPr>
      <w:r>
        <w:rPr>
          <w:b/>
          <w:bCs/>
        </w:rPr>
        <w:t xml:space="preserve">4. Practice the specific form of faith that acts now on what God has promised for later.</w:t>
      </w:r>
      <w:r>
        <w:t xml:space="preserve"> </w:t>
      </w:r>
      <w:r>
        <w:rPr>
          <w:i/>
          <w:iCs/>
        </w:rPr>
        <w:t xml:space="preserve">(Will/Behavior)</w:t>
      </w:r>
      <w:r>
        <w:t xml:space="preserve"> </w:t>
      </w:r>
      <w:r>
        <w:t xml:space="preserve">Jacob’s burial demand is not passive hoping — it is active, binding, sworn-oath-level insistence that the promise will be honored. He makes Joseph swear. He leans on the top of his staff and worships. These are actions, not feelings. The covenant faith that this passage calls for is not a vague sense that things will work out; it is the kind of faith that arranges the present in light of a certain future. What concrete, present-tense decision is your stated faith in God’s promises actually shaping? Where is the oath-level commitment that demonstrates you believe what you say you believe about where you are ultimately headed?</w:t>
      </w:r>
    </w:p>
    <w:p>
      <w:pPr>
        <w:pStyle w:val="BodyText"/>
      </w:pPr>
      <w:r>
        <w:rPr>
          <w:b/>
          <w:bCs/>
        </w:rPr>
        <w:t xml:space="preserve">5. Receive God’s multiplying provision in the hard places as evidence of His covenant faithfulness, not as evidence that the hard place is now home.</w:t>
      </w:r>
      <w:r>
        <w:t xml:space="preserve"> </w:t>
      </w:r>
      <w:r>
        <w:rPr>
          <w:i/>
          <w:iCs/>
        </w:rPr>
        <w:t xml:space="preserve">(Affections/Worship)</w:t>
      </w:r>
      <w:r>
        <w:t xml:space="preserve"> </w:t>
      </w:r>
      <w:r>
        <w:t xml:space="preserve">Verse 27 is one of the most theologically loaded verses in the chapter: Israel multiplies and acquires property — in Egypt, in the midst of famine, in a foreign land, surrounded by a population being progressively stripped of everything. The blessing of God is functioning exactly as it was promised to function. But the danger in that blessing is the same danger it always carries: the good gift can become a substitute for the Giver’s promise. Israel will eventually need to leave Goshen, and that departure will be hard precisely because Goshen became comfortable. Let the blessing you are currently experiencing increase your gratitude to the covenant God who gives it — not your attachment to the arrangement itself.</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Genesis 47 teaches that God’s covenant faithfulness operates independent of — and frequently in contrast to — the dominant powers of any given age. While Egypt’s entire population is being consolidated under Pharaoh’s absolute control, Israel is growing, acquiring, and multiplying under God’s blessing. The text insists that these two trajectories are not accidental: the covenant God is keeping His promise to Abraham (Genesis 12, 15) even in the middle of a global famine, in a foreign empire, through the unlikely instrument of a Hebrew slave-turned-administrator. Jacob’s dying act of covenant faith in verses 29–31 further teaches that God’s promises have a longer horizon than any human lifetime — Jacob’s bones will not remain in Egypt because God’s promise has already claimed a different destination for them. The chapter also implicitly teaches something about the nature of idolatrous power: Pharaoh becomes a</w:t>
      </w:r>
      <w:r>
        <w:t xml:space="preserve"> </w:t>
      </w:r>
      <w:r>
        <w:t xml:space="preserve">“savior”</w:t>
      </w:r>
      <w:r>
        <w:t xml:space="preserve"> </w:t>
      </w:r>
      <w:r>
        <w:t xml:space="preserve">to Egypt, and Egypt becomes permanently dependent — a portrait of what false saviors always produce, in contrast to the God who multiplies and sustains without requiring His people’s freedom in return.</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This chapter displays the doctrine of covenant preservation with striking clarity: God’s election of Abraham’s line and His covenant commitment to multiply and land that line is not defeated by famine, exile, or imperial power. Israel does not prosper in Goshen because of superior virtue or wise planning — they prosper because God’s covenant word does not fail. This is grace operating at the national-historical level, doing the same work that grace does at the individual-soteriological level: sustaining what would otherwise perish, multiplying what the world would diminish, preserving a people who have no claim on their own future except the promise of God. Jacob’s burial oath also illustrates the Reformed understanding of faith as a present orientation toward a future certainty — not a feeling but a posture that shapes action. Hebrews 11 is right to locate this in the chapter of faith precisely because it embodies the Reformed understanding that faith is the substance of things hoped for, not merely the sentiment of things desired. The contrast between Egypt’s Pharaoh-dependent trajectory and Israel’s covenant-sustained trajectory anticipates the broader Reformed theme: there are always two cities, two loves, two destinations — and the people of God are always, even in exile, citizens of the one their eyes cannot yet see.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Jacob is lying on his deathbed in the most comfortable, well-provisioned arrangement his family has ever known — and he refuses to let Egypt be his final word. He makes his son swear an oath, leans on his staff, and worships a God who promised him a land he never fully possessed in his own lifetime. That is the chapter’s demand on every reader: you are in Goshen right now — some version of it. The question is whether you are living like it is home. It is not. The covenant claims you for a different destination, and the faith that knows this will arrange the present accordingly.</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Treating the famine narrative (vv. 13–26) as the chapter’s main subject.</w:t>
      </w:r>
      <w:r>
        <w:t xml:space="preserve"> </w:t>
      </w:r>
      <w:r>
        <w:t xml:space="preserve">This is the most common structural error in preaching Genesis 47. The famine material is not the foreground — it is the backdrop against which the contrast of verses 27–31 becomes visible. A sermon that spends the majority of its time on Joseph’s economic policy has misread the chapter’s architecture. The famine administration is present to make the contrast with Israel’s trajectory, and ultimately to set up Jacob’s covenant act, not to supply leadership principles or economic ethics.</w:t>
      </w:r>
    </w:p>
    <w:p>
      <w:pPr>
        <w:numPr>
          <w:ilvl w:val="0"/>
          <w:numId w:val="1002"/>
        </w:numPr>
      </w:pPr>
      <w:r>
        <w:rPr>
          <w:b/>
          <w:bCs/>
        </w:rPr>
        <w:t xml:space="preserve">Moralizing Jacob’s burial request as sentimentality or ethnic pride.</w:t>
      </w:r>
      <w:r>
        <w:t xml:space="preserve"> </w:t>
      </w:r>
      <w:r>
        <w:t xml:space="preserve">“Jacob wanted to be buried with his ancestors”</w:t>
      </w:r>
      <w:r>
        <w:t xml:space="preserve"> </w:t>
      </w:r>
      <w:r>
        <w:t xml:space="preserve">is a true but catastrophically thin reading. The text itself frames this as an act of faith (Hebrews 11:21–22 confirms the canonical reading). A sermon that treats verses 29–31 as a touching family moment or a meditation on honoring cultural roots has missed the theological weight entirely. This is covenant faith enacted at the edge of death — not nostalgia.</w:t>
      </w:r>
    </w:p>
    <w:p>
      <w:pPr>
        <w:numPr>
          <w:ilvl w:val="0"/>
          <w:numId w:val="1002"/>
        </w:numPr>
      </w:pPr>
      <w:r>
        <w:rPr>
          <w:b/>
          <w:bCs/>
        </w:rPr>
        <w:t xml:space="preserve">Preaching Joseph’s famine administration as exemplary management.</w:t>
      </w:r>
      <w:r>
        <w:t xml:space="preserve"> </w:t>
      </w:r>
      <w:r>
        <w:t xml:space="preserve">Joseph’s program results in the permanent enslavement of an entire population, who then express gratitude for surviving. The text does not editorialize against this, but it also does not present it as a model to emulate. Extracting a leadership lesson (</w:t>
      </w:r>
      <w:r>
        <w:t xml:space="preserve">“Joseph leveraged the crisis wisely”</w:t>
      </w:r>
      <w:r>
        <w:t xml:space="preserve">) requires reading against the text’s own theological grain, which is drawing a contrast between Pharaoh’s consolidating power and God’s covenant-keeping provision.</w:t>
      </w:r>
    </w:p>
    <w:p>
      <w:pPr>
        <w:numPr>
          <w:ilvl w:val="0"/>
          <w:numId w:val="1002"/>
        </w:numPr>
      </w:pPr>
      <w:r>
        <w:rPr>
          <w:b/>
          <w:bCs/>
        </w:rPr>
        <w:t xml:space="preserve">Underreading verse 27’s theological weight.</w:t>
      </w:r>
      <w:r>
        <w:t xml:space="preserve"> </w:t>
      </w:r>
      <w:r>
        <w:t xml:space="preserve">“Thus Israel settled in the land of Egypt, in the land of Goshen. And they gained possessions in it and were fruitful and multiplied greatly”</w:t>
      </w:r>
      <w:r>
        <w:t xml:space="preserve"> </w:t>
      </w:r>
      <w:r>
        <w:t xml:space="preserve">is not a transitional summary. It is the chapter’s theological climax before Jacob’s final act — the visible fulfillment of God’s covenant-blessing operating within an empire that is simultaneously stripping everyone else of possessions and freedom. Preachers who rush past verse 27 to get to Jacob’s deathbed scene miss the contrast that gives the deathbed scene its power.</w:t>
      </w:r>
    </w:p>
    <w:p>
      <w:pPr>
        <w:numPr>
          <w:ilvl w:val="0"/>
          <w:numId w:val="1002"/>
        </w:numPr>
      </w:pPr>
      <w:r>
        <w:rPr>
          <w:b/>
          <w:bCs/>
        </w:rPr>
        <w:t xml:space="preserve">Failing to connect Jacob’s dying faith to the believer’s present posture.</w:t>
      </w:r>
      <w:r>
        <w:t xml:space="preserve"> </w:t>
      </w:r>
      <w:r>
        <w:t xml:space="preserve">The canonical weight of this chapter (Hebrews 11, Philippians 3:20, the whole trajectory toward Exodus and beyond) is pressing toward a present application, not merely a historical observation about Jacob. A sermon that ends with admiration for Jacob’s faithfulness without pressing the question</w:t>
      </w:r>
      <w:r>
        <w:t xml:space="preserve"> </w:t>
      </w:r>
      <w:r>
        <w:t xml:space="preserve">“and what does this demand of you, who are also dwelling in a Goshen?”</w:t>
      </w:r>
      <w:r>
        <w:t xml:space="preserve"> </w:t>
      </w:r>
      <w:r>
        <w:t xml:space="preserve">has stopped short of the passage’s intent.</w:t>
      </w:r>
    </w:p>
    <w:p>
      <w:pPr>
        <w:numPr>
          <w:ilvl w:val="0"/>
          <w:numId w:val="1002"/>
        </w:numPr>
      </w:pPr>
      <w:r>
        <w:rPr>
          <w:b/>
          <w:bCs/>
        </w:rPr>
        <w:t xml:space="preserve">Missing the idol-diagnostic dimension of the Egypt/Israel contrast.</w:t>
      </w:r>
      <w:r>
        <w:t xml:space="preserve"> </w:t>
      </w:r>
      <w:r>
        <w:t xml:space="preserve">The text is not merely saying</w:t>
      </w:r>
      <w:r>
        <w:t xml:space="preserve"> </w:t>
      </w:r>
      <w:r>
        <w:t xml:space="preserve">“Goshen was temporary.”</w:t>
      </w:r>
      <w:r>
        <w:t xml:space="preserve"> </w:t>
      </w:r>
      <w:r>
        <w:t xml:space="preserve">It is diagnosing the spiritual danger of any arrangement that becomes the primary source of provision and security. Egypt’s population, grateful to Pharaoh for letting them survive, has a savior — and it is not God. The believer is always being formed by the question: who do I say has saved my life, and how is that claim shaping my practical dependencies?</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2026-07-14T21:01:18Z</dcterms:created>
  <dcterms:modified xsi:type="dcterms:W3CDTF">2026-07-14T21:01:18Z</dcterms:modified>
</cp:coreProperties>
</file>

<file path=docProps/custom.xml><?xml version="1.0" encoding="utf-8"?>
<Properties xmlns="http://schemas.openxmlformats.org/officeDocument/2006/custom-properties" xmlns:vt="http://schemas.openxmlformats.org/officeDocument/2006/docPropsVTypes"/>
</file>